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E395F3F"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47B5FA62"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6B3F32">
        <w:rPr>
          <w:rFonts w:eastAsia="Times New Roman" w:cs="Times New Roman"/>
          <w:lang w:eastAsia="cs-CZ"/>
        </w:rPr>
        <w:t>:</w:t>
      </w:r>
      <w:r w:rsidRPr="006B3F32">
        <w:rPr>
          <w:rFonts w:eastAsia="Times New Roman" w:cs="Times New Roman"/>
          <w:b/>
          <w:lang w:eastAsia="cs-CZ"/>
        </w:rPr>
        <w:t xml:space="preserve"> </w:t>
      </w:r>
      <w:r w:rsidR="00A64AC7" w:rsidRPr="006B3F32">
        <w:rPr>
          <w:rFonts w:eastAsia="Times New Roman" w:cs="Times New Roman"/>
          <w:b/>
          <w:lang w:eastAsia="cs-CZ"/>
        </w:rPr>
        <w:t>6542</w:t>
      </w:r>
      <w:r w:rsidR="004D38C1" w:rsidRPr="006B3F32">
        <w:rPr>
          <w:rFonts w:eastAsia="Times New Roman" w:cs="Times New Roman"/>
          <w:b/>
          <w:lang w:eastAsia="cs-CZ"/>
        </w:rPr>
        <w:t>3</w:t>
      </w:r>
      <w:r w:rsidR="006B3F32" w:rsidRPr="006B3F32">
        <w:rPr>
          <w:rFonts w:eastAsia="Times New Roman" w:cs="Times New Roman"/>
          <w:b/>
          <w:lang w:eastAsia="cs-CZ"/>
        </w:rPr>
        <w:t>028</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6B3F32" w:rsidRDefault="00C421F2" w:rsidP="00C421F2">
      <w:pPr>
        <w:pStyle w:val="Style6"/>
        <w:widowControl/>
        <w:tabs>
          <w:tab w:val="left" w:pos="993"/>
        </w:tabs>
        <w:spacing w:line="288" w:lineRule="auto"/>
        <w:rPr>
          <w:rStyle w:val="FontStyle38"/>
          <w:rFonts w:ascii="Verdana" w:hAnsi="Verdana"/>
          <w:sz w:val="18"/>
          <w:szCs w:val="18"/>
        </w:rPr>
      </w:pPr>
      <w:r w:rsidRPr="006B3F32">
        <w:rPr>
          <w:rFonts w:asciiTheme="minorHAnsi" w:eastAsiaTheme="minorHAnsi" w:hAnsiTheme="minorHAnsi" w:cstheme="minorBidi"/>
          <w:sz w:val="18"/>
          <w:szCs w:val="18"/>
          <w:lang w:eastAsia="en-US"/>
        </w:rPr>
        <w:t>zastoupena</w:t>
      </w:r>
      <w:r w:rsidRPr="006B3F32">
        <w:t xml:space="preserve">: </w:t>
      </w:r>
      <w:r w:rsidRPr="006B3F32">
        <w:rPr>
          <w:rFonts w:ascii="Verdana" w:hAnsi="Verdana"/>
          <w:sz w:val="18"/>
          <w:szCs w:val="18"/>
        </w:rPr>
        <w:t>Ing. Radkem Makovcem</w:t>
      </w:r>
      <w:r w:rsidRPr="006B3F32">
        <w:rPr>
          <w:rStyle w:val="FontStyle38"/>
          <w:rFonts w:ascii="Verdana" w:hAnsi="Verdana"/>
          <w:sz w:val="18"/>
          <w:szCs w:val="18"/>
        </w:rPr>
        <w:t>, ředitelem Oblastního ředitelství Plzeň</w:t>
      </w:r>
    </w:p>
    <w:p w14:paraId="4A5EEB2F" w14:textId="77777777" w:rsidR="00C421F2" w:rsidRPr="006B3F32" w:rsidRDefault="00C421F2" w:rsidP="00C421F2">
      <w:pPr>
        <w:pStyle w:val="Textbezodsazen"/>
        <w:tabs>
          <w:tab w:val="left" w:pos="0"/>
        </w:tabs>
        <w:spacing w:after="0"/>
      </w:pPr>
      <w:r w:rsidRPr="006B3F32">
        <w:t>na základě pověření č. 2720 ze dne 27. 5. 2019</w:t>
      </w:r>
    </w:p>
    <w:p w14:paraId="36713F6B" w14:textId="77777777" w:rsidR="00C421F2" w:rsidRPr="006B3F32" w:rsidRDefault="00C421F2" w:rsidP="00C421F2">
      <w:pPr>
        <w:pStyle w:val="acnormal"/>
        <w:tabs>
          <w:tab w:val="left" w:pos="1985"/>
        </w:tabs>
        <w:spacing w:before="0" w:after="0"/>
        <w:rPr>
          <w:rFonts w:ascii="Verdana" w:hAnsi="Verdana" w:cstheme="minorHAnsi"/>
          <w:sz w:val="18"/>
          <w:szCs w:val="18"/>
        </w:rPr>
      </w:pPr>
      <w:r w:rsidRPr="006B3F32">
        <w:rPr>
          <w:rFonts w:ascii="Verdana" w:hAnsi="Verdana" w:cstheme="minorHAnsi"/>
          <w:sz w:val="18"/>
          <w:szCs w:val="18"/>
        </w:rPr>
        <w:t>Bankovní spojení:</w:t>
      </w:r>
      <w:r w:rsidRPr="006B3F32">
        <w:rPr>
          <w:rFonts w:ascii="Verdana" w:hAnsi="Verdana" w:cstheme="minorHAnsi"/>
          <w:sz w:val="18"/>
          <w:szCs w:val="18"/>
        </w:rPr>
        <w:tab/>
        <w:t xml:space="preserve"> </w:t>
      </w:r>
      <w:r w:rsidRPr="006B3F32">
        <w:rPr>
          <w:rFonts w:ascii="Verdana" w:hAnsi="Verdana" w:cstheme="minorHAnsi"/>
          <w:sz w:val="18"/>
          <w:szCs w:val="18"/>
        </w:rPr>
        <w:tab/>
        <w:t>Česká národní banka</w:t>
      </w:r>
    </w:p>
    <w:p w14:paraId="319AC171" w14:textId="509B31C2" w:rsidR="00C421F2" w:rsidRPr="006B3F32" w:rsidRDefault="00C421F2" w:rsidP="00C421F2">
      <w:pPr>
        <w:pStyle w:val="acnormal"/>
        <w:tabs>
          <w:tab w:val="left" w:pos="1701"/>
        </w:tabs>
        <w:spacing w:before="0" w:after="0"/>
        <w:rPr>
          <w:rFonts w:ascii="Verdana" w:hAnsi="Verdana" w:cstheme="minorHAnsi"/>
          <w:sz w:val="18"/>
          <w:szCs w:val="18"/>
        </w:rPr>
      </w:pPr>
      <w:r w:rsidRPr="006B3F32">
        <w:rPr>
          <w:rFonts w:ascii="Verdana" w:hAnsi="Verdana" w:cstheme="minorHAnsi"/>
          <w:sz w:val="18"/>
          <w:szCs w:val="18"/>
        </w:rPr>
        <w:t>číslo účtu:</w:t>
      </w:r>
      <w:r w:rsidRPr="006B3F32">
        <w:rPr>
          <w:rFonts w:ascii="Verdana" w:hAnsi="Verdana" w:cstheme="minorHAnsi"/>
          <w:sz w:val="18"/>
          <w:szCs w:val="18"/>
        </w:rPr>
        <w:tab/>
      </w:r>
      <w:r w:rsidRPr="006B3F32">
        <w:rPr>
          <w:rFonts w:ascii="Verdana" w:hAnsi="Verdana" w:cstheme="minorHAnsi"/>
          <w:sz w:val="18"/>
          <w:szCs w:val="18"/>
        </w:rPr>
        <w:tab/>
      </w:r>
      <w:r w:rsidR="000A54CF" w:rsidRPr="006B3F32">
        <w:rPr>
          <w:rFonts w:asciiTheme="majorHAnsi" w:hAnsiTheme="majorHAnsi"/>
          <w:sz w:val="18"/>
          <w:szCs w:val="18"/>
        </w:rPr>
        <w:t>70009-</w:t>
      </w:r>
      <w:r w:rsidR="000A54CF" w:rsidRPr="006B3F32">
        <w:rPr>
          <w:rFonts w:ascii="Verdana" w:hAnsi="Verdana" w:cstheme="minorHAnsi"/>
          <w:sz w:val="18"/>
          <w:szCs w:val="18"/>
        </w:rPr>
        <w:t>00</w:t>
      </w:r>
      <w:r w:rsidRPr="006B3F32">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6B3F32">
        <w:rPr>
          <w:rFonts w:ascii="Verdana" w:hAnsi="Verdana" w:cstheme="minorHAnsi"/>
          <w:sz w:val="18"/>
          <w:szCs w:val="18"/>
        </w:rPr>
        <w:t>Datová schránka:</w:t>
      </w:r>
      <w:r w:rsidRPr="006B3F32">
        <w:rPr>
          <w:rFonts w:ascii="Verdana" w:hAnsi="Verdana" w:cstheme="minorHAnsi"/>
          <w:sz w:val="18"/>
          <w:szCs w:val="18"/>
        </w:rPr>
        <w:tab/>
      </w:r>
      <w:r w:rsidRPr="006B3F32">
        <w:rPr>
          <w:rFonts w:ascii="Verdana" w:hAnsi="Verdana" w:cstheme="minorHAnsi"/>
          <w:sz w:val="18"/>
          <w:szCs w:val="18"/>
        </w:rPr>
        <w:tab/>
      </w:r>
      <w:proofErr w:type="spellStart"/>
      <w:r w:rsidRPr="006B3F32">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A9F62EB" w:rsidR="00D85C5B" w:rsidRPr="000C5DA0" w:rsidRDefault="00D85C5B" w:rsidP="002B378D">
      <w:pPr>
        <w:rPr>
          <w:lang w:eastAsia="cs-CZ"/>
        </w:rPr>
      </w:pPr>
      <w:r w:rsidRPr="000C5DA0">
        <w:rPr>
          <w:lang w:eastAsia="cs-CZ"/>
        </w:rPr>
        <w:t xml:space="preserve">Tato smlouva je uzavřena na </w:t>
      </w:r>
      <w:r w:rsidRPr="006B3F32">
        <w:rPr>
          <w:lang w:eastAsia="cs-CZ"/>
        </w:rPr>
        <w:t xml:space="preserve">základě výsledků zadávacího řízení veřejné zakázky s názvem </w:t>
      </w:r>
      <w:r w:rsidRPr="006B3F32">
        <w:rPr>
          <w:b/>
          <w:lang w:eastAsia="cs-CZ"/>
        </w:rPr>
        <w:t>„</w:t>
      </w:r>
      <w:r w:rsidR="006B3F32" w:rsidRPr="006B3F32">
        <w:rPr>
          <w:b/>
          <w:lang w:eastAsia="cs-CZ"/>
        </w:rPr>
        <w:t>Dodávka a montáž kancelářského vybavení pro PO České Budějovice</w:t>
      </w:r>
      <w:r w:rsidR="005B2661" w:rsidRPr="006B3F32">
        <w:rPr>
          <w:b/>
          <w:lang w:eastAsia="cs-CZ"/>
        </w:rPr>
        <w:t>“</w:t>
      </w:r>
      <w:r w:rsidRPr="006B3F32">
        <w:rPr>
          <w:lang w:eastAsia="cs-CZ"/>
        </w:rPr>
        <w:t>,</w:t>
      </w:r>
      <w:r w:rsidR="005B2661" w:rsidRPr="006B3F32">
        <w:rPr>
          <w:lang w:eastAsia="cs-CZ"/>
        </w:rPr>
        <w:t xml:space="preserve"> </w:t>
      </w:r>
      <w:r w:rsidR="001C22E7" w:rsidRPr="006B3F32">
        <w:rPr>
          <w:rFonts w:eastAsia="Times New Roman" w:cs="Times New Roman"/>
          <w:lang w:eastAsia="cs-CZ"/>
        </w:rPr>
        <w:t>č.</w:t>
      </w:r>
      <w:r w:rsidR="005B2661" w:rsidRPr="006B3F32">
        <w:rPr>
          <w:rFonts w:eastAsia="Times New Roman" w:cs="Times New Roman"/>
          <w:lang w:eastAsia="cs-CZ"/>
        </w:rPr>
        <w:t xml:space="preserve"> </w:t>
      </w:r>
      <w:r w:rsidR="001C22E7" w:rsidRPr="006B3F32">
        <w:rPr>
          <w:rFonts w:eastAsia="Times New Roman" w:cs="Times New Roman"/>
          <w:lang w:eastAsia="cs-CZ"/>
        </w:rPr>
        <w:t>j. veřejné zakázky</w:t>
      </w:r>
      <w:r w:rsidR="00F20995" w:rsidRPr="006B3F32">
        <w:rPr>
          <w:rFonts w:eastAsia="Times New Roman" w:cs="Times New Roman"/>
          <w:lang w:eastAsia="cs-CZ"/>
        </w:rPr>
        <w:t xml:space="preserve"> </w:t>
      </w:r>
      <w:r w:rsidR="006B3F32" w:rsidRPr="006B3F32">
        <w:t>8819/2023-SŽ-OŘ PLZ-ÚPI</w:t>
      </w:r>
      <w:r w:rsidR="001C22E7" w:rsidRPr="006B3F32">
        <w:rPr>
          <w:rFonts w:eastAsia="Times New Roman" w:cs="Times New Roman"/>
          <w:lang w:eastAsia="cs-CZ"/>
        </w:rPr>
        <w:t xml:space="preserve"> </w:t>
      </w:r>
      <w:r w:rsidRPr="006B3F32">
        <w:rPr>
          <w:lang w:eastAsia="cs-CZ"/>
        </w:rPr>
        <w:t xml:space="preserve">(dále jen „veřejná zakázka“). Jednotlivá ustanovení této </w:t>
      </w:r>
      <w:r w:rsidR="008B1447" w:rsidRPr="006B3F32">
        <w:rPr>
          <w:lang w:eastAsia="cs-CZ"/>
        </w:rPr>
        <w:t>Sml</w:t>
      </w:r>
      <w:r w:rsidRPr="006B3F32">
        <w:rPr>
          <w:lang w:eastAsia="cs-CZ"/>
        </w:rPr>
        <w:t>ouvy tak budou vykládána v souladu se zadávac</w:t>
      </w:r>
      <w:r w:rsidR="00FF7302" w:rsidRPr="006B3F32">
        <w:rPr>
          <w:lang w:eastAsia="cs-CZ"/>
        </w:rPr>
        <w:t>ími</w:t>
      </w:r>
      <w:r w:rsidR="00FF7302">
        <w:rPr>
          <w:lang w:eastAsia="cs-CZ"/>
        </w:rPr>
        <w:t xml:space="preserve"> podmínkami veřejné zakázky.</w:t>
      </w:r>
    </w:p>
    <w:p w14:paraId="50FD3425" w14:textId="3F83894E" w:rsidR="00D85C5B" w:rsidRPr="000E4F4B" w:rsidRDefault="00D85C5B" w:rsidP="007F5EC4">
      <w:pPr>
        <w:pStyle w:val="Nadpis1"/>
      </w:pPr>
      <w:r w:rsidRPr="000E4F4B">
        <w:t>Předmět koupě</w:t>
      </w:r>
    </w:p>
    <w:p w14:paraId="1CC662D5" w14:textId="60E10ADC"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6B3F32" w:rsidRPr="006B3F32">
        <w:rPr>
          <w:rFonts w:eastAsia="Times New Roman" w:cs="Times New Roman"/>
          <w:lang w:eastAsia="cs-CZ"/>
        </w:rPr>
        <w:t>Dodávka kancelářského nábytku</w:t>
      </w:r>
      <w:r w:rsidR="006B3F32">
        <w:rPr>
          <w:rFonts w:eastAsia="Times New Roman" w:cs="Times New Roman"/>
          <w:lang w:eastAsia="cs-CZ"/>
        </w:rPr>
        <w:t xml:space="preserve"> včetně jeho montáže</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6B3F3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B3F32">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0F1B2503"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6B3F32">
        <w:rPr>
          <w:rFonts w:eastAsia="Times New Roman" w:cs="Times New Roman"/>
          <w:lang w:eastAsia="cs-CZ"/>
        </w:rPr>
        <w:t>sjednává na 30 kalendářních dnů od jejího písemného doručení Kupujícímu. V případě, že faktura nebude</w:t>
      </w:r>
      <w:r w:rsidRPr="00272F27">
        <w:rPr>
          <w:rFonts w:eastAsia="Times New Roman" w:cs="Times New Roman"/>
          <w:lang w:eastAsia="cs-CZ"/>
        </w:rPr>
        <w:t xml:space="preserv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1038612F"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6B3F32" w:rsidRPr="006B3F32">
        <w:rPr>
          <w:rFonts w:eastAsia="Times New Roman" w:cs="Times New Roman"/>
          <w:lang w:eastAsia="cs-CZ"/>
        </w:rPr>
        <w:t>výpravní budova nádraží v Českých Budějovicích</w:t>
      </w:r>
      <w:r w:rsidR="006B3F32">
        <w:rPr>
          <w:rFonts w:eastAsia="Times New Roman" w:cs="Times New Roman"/>
          <w:lang w:eastAsia="cs-CZ"/>
        </w:rPr>
        <w:t xml:space="preserve">, </w:t>
      </w:r>
      <w:r w:rsidR="006B3F32" w:rsidRPr="006B3F32">
        <w:rPr>
          <w:rFonts w:eastAsia="Times New Roman" w:cs="Times New Roman"/>
          <w:lang w:eastAsia="cs-CZ"/>
        </w:rPr>
        <w:t>Nádražní 119/4, České Budějovice</w:t>
      </w:r>
      <w:r>
        <w:rPr>
          <w:rFonts w:eastAsia="Times New Roman" w:cs="Times New Roman"/>
          <w:lang w:eastAsia="cs-CZ"/>
        </w:rPr>
        <w:t>.</w:t>
      </w:r>
    </w:p>
    <w:p w14:paraId="5115D35D" w14:textId="62A50CAB"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6B3F32">
        <w:rPr>
          <w:rFonts w:eastAsia="Times New Roman" w:cs="Times New Roman"/>
          <w:lang w:eastAsia="cs-CZ"/>
        </w:rPr>
        <w:t xml:space="preserve">do </w:t>
      </w:r>
      <w:r w:rsidR="006B3F32" w:rsidRPr="006B3F32">
        <w:rPr>
          <w:rFonts w:eastAsia="Times New Roman" w:cs="Times New Roman"/>
          <w:lang w:eastAsia="cs-CZ"/>
        </w:rPr>
        <w:t>31. 7. 2023, s dodržením</w:t>
      </w:r>
      <w:r w:rsidR="006B3F32">
        <w:rPr>
          <w:rFonts w:eastAsia="Times New Roman" w:cs="Times New Roman"/>
          <w:lang w:eastAsia="cs-CZ"/>
        </w:rPr>
        <w:t xml:space="preserve"> dalších termínů uvedených v čl. 2 Technické zprávy.</w:t>
      </w:r>
    </w:p>
    <w:p w14:paraId="27C9234E" w14:textId="2F53C418"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6B3F32">
        <w:rPr>
          <w:rFonts w:eastAsia="Times New Roman" w:cs="Times New Roman"/>
          <w:lang w:eastAsia="cs-CZ"/>
        </w:rPr>
        <w:t xml:space="preserve">vyhotoven dodací list </w:t>
      </w:r>
      <w:r w:rsidR="00AE2970" w:rsidRPr="006B3F32">
        <w:rPr>
          <w:rFonts w:eastAsia="Times New Roman" w:cs="Times New Roman"/>
          <w:lang w:eastAsia="cs-CZ"/>
        </w:rPr>
        <w:t>podepsan</w:t>
      </w:r>
      <w:r w:rsidRPr="006B3F32">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32398E5A"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za Prodávajícího:</w:t>
      </w:r>
      <w:r w:rsidR="006B3F32">
        <w:rPr>
          <w:rFonts w:eastAsia="Times New Roman" w:cs="Times New Roman"/>
          <w:lang w:eastAsia="cs-CZ"/>
        </w:rPr>
        <w:tab/>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386007D1"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za Kupujícího:</w:t>
      </w:r>
      <w:r w:rsidR="006B3F32">
        <w:rPr>
          <w:rFonts w:eastAsia="Times New Roman" w:cs="Times New Roman"/>
          <w:lang w:eastAsia="cs-CZ"/>
        </w:rPr>
        <w:tab/>
      </w:r>
      <w:r w:rsidR="006B3F32">
        <w:rPr>
          <w:rFonts w:eastAsia="Times New Roman" w:cs="Times New Roman"/>
          <w:lang w:eastAsia="cs-CZ"/>
        </w:rPr>
        <w:tab/>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F0D8AE"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6B3F32">
        <w:rPr>
          <w:rFonts w:ascii="Verdana" w:hAnsi="Verdana" w:cstheme="minorHAnsi"/>
        </w:rPr>
        <w:t>potvrzením dodacího listu ze strany</w:t>
      </w:r>
      <w:r>
        <w:rPr>
          <w:rFonts w:ascii="Verdana" w:hAnsi="Verdana" w:cstheme="minorHAnsi"/>
        </w:rPr>
        <w:t xml:space="preserve"> Kupujícího a Prodávajícího.</w:t>
      </w:r>
    </w:p>
    <w:p w14:paraId="4D5A70EC" w14:textId="77777777" w:rsidR="00D85C5B" w:rsidRPr="00F87997" w:rsidRDefault="00D85C5B" w:rsidP="000E4F4B">
      <w:pPr>
        <w:pStyle w:val="Nadpis1"/>
        <w:rPr>
          <w:rFonts w:eastAsia="Times New Roman"/>
          <w:lang w:eastAsia="cs-CZ"/>
        </w:rPr>
      </w:pPr>
      <w:r w:rsidRPr="00F87997">
        <w:rPr>
          <w:rFonts w:eastAsia="Times New Roman"/>
          <w:lang w:eastAsia="cs-CZ"/>
        </w:rPr>
        <w:t>Přeprava předmětu koupě</w:t>
      </w:r>
    </w:p>
    <w:p w14:paraId="21AAFB48" w14:textId="77777777" w:rsidR="00D85C5B" w:rsidRPr="00F8799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87997">
        <w:rPr>
          <w:rFonts w:eastAsia="Times New Roman" w:cs="Times New Roman"/>
          <w:lang w:eastAsia="cs-CZ"/>
        </w:rPr>
        <w:t>Pojištění se nevyžaduje.</w:t>
      </w:r>
    </w:p>
    <w:p w14:paraId="3776C210" w14:textId="77777777" w:rsidR="00D85C5B" w:rsidRPr="00F8799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87997">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5680CA33" w:rsidR="00D85C5B"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5D9ED8E" w14:textId="538B4E82" w:rsidR="00F87997" w:rsidRPr="0015084F" w:rsidRDefault="00F87997" w:rsidP="00F87997">
      <w:pPr>
        <w:overflowPunct w:val="0"/>
        <w:autoSpaceDE w:val="0"/>
        <w:autoSpaceDN w:val="0"/>
        <w:adjustRightInd w:val="0"/>
        <w:spacing w:after="120" w:line="240" w:lineRule="auto"/>
        <w:ind w:left="709"/>
        <w:textAlignment w:val="baseline"/>
        <w:rPr>
          <w:rFonts w:eastAsia="Times New Roman" w:cs="Times New Roman"/>
          <w:lang w:eastAsia="cs-CZ"/>
        </w:rPr>
      </w:pPr>
      <w:bookmarkStart w:id="0" w:name="_GoBack"/>
      <w:bookmarkEnd w:id="0"/>
      <w:r>
        <w:rPr>
          <w:rFonts w:eastAsia="Times New Roman" w:cs="Times New Roman"/>
          <w:lang w:eastAsia="cs-CZ"/>
        </w:rPr>
        <w:t>Běžné návody k obsluze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1F2AAA3A" w14:textId="17F21BF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lastRenderedPageBreak/>
        <w:t xml:space="preserve">Záruční doba činí </w:t>
      </w:r>
      <w:r w:rsidR="004266C8">
        <w:rPr>
          <w:rFonts w:eastAsia="Times New Roman" w:cs="Times New Roman"/>
          <w:lang w:eastAsia="cs-CZ"/>
        </w:rPr>
        <w:t>60</w:t>
      </w:r>
      <w:r w:rsidRPr="001C4874">
        <w:rPr>
          <w:rFonts w:eastAsia="Times New Roman" w:cs="Times New Roman"/>
          <w:lang w:eastAsia="cs-CZ"/>
        </w:rPr>
        <w:t xml:space="preserve">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124D6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124D6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124D6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D32DA31"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3FC86EEE"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E7492B0"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63368F32"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562388F0"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1B8A0B9" w14:textId="77777777" w:rsidR="00502E6E" w:rsidRPr="00502E6E" w:rsidRDefault="00502E6E" w:rsidP="00124D61">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48E9DBC" w14:textId="77777777" w:rsidR="00502E6E" w:rsidRPr="00502E6E" w:rsidRDefault="00502E6E" w:rsidP="00124D61">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DEB23FB" w14:textId="77777777" w:rsidR="00502E6E" w:rsidRPr="00502E6E" w:rsidRDefault="00502E6E" w:rsidP="00124D61">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818EC30" w14:textId="77777777" w:rsidR="00502E6E" w:rsidRPr="00502E6E" w:rsidRDefault="00502E6E" w:rsidP="00124D61">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71D1EB3C" w14:textId="4C0B55B1" w:rsidR="00502E6E" w:rsidRPr="00124D61" w:rsidRDefault="00502E6E" w:rsidP="00124D61">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A3797A6" w14:textId="3A3DDAFF" w:rsidR="00502E6E" w:rsidRPr="00124D61" w:rsidRDefault="00502E6E" w:rsidP="00124D61">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F87997">
      <w:pPr>
        <w:pStyle w:val="Text1-1"/>
        <w:numPr>
          <w:ilvl w:val="1"/>
          <w:numId w:val="10"/>
        </w:numPr>
        <w:ind w:left="709" w:hanging="709"/>
        <w:jc w:val="left"/>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F87997">
      <w:pPr>
        <w:pStyle w:val="Text1-1"/>
        <w:numPr>
          <w:ilvl w:val="1"/>
          <w:numId w:val="10"/>
        </w:numPr>
        <w:ind w:left="709" w:hanging="709"/>
        <w:jc w:val="left"/>
      </w:pPr>
      <w:r>
        <w:lastRenderedPageBreak/>
        <w:t xml:space="preserve">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14:paraId="50F57445" w14:textId="77777777" w:rsidR="00037C94" w:rsidRDefault="00037C94" w:rsidP="00F87997">
      <w:pPr>
        <w:pStyle w:val="Text1-1"/>
        <w:numPr>
          <w:ilvl w:val="1"/>
          <w:numId w:val="10"/>
        </w:numPr>
        <w:ind w:left="709" w:hanging="709"/>
        <w:jc w:val="left"/>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F87997">
      <w:pPr>
        <w:pStyle w:val="Text1-1"/>
        <w:numPr>
          <w:ilvl w:val="1"/>
          <w:numId w:val="10"/>
        </w:numPr>
        <w:ind w:left="709" w:hanging="709"/>
        <w:jc w:val="left"/>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F87997">
      <w:pPr>
        <w:pStyle w:val="Text1-1"/>
        <w:numPr>
          <w:ilvl w:val="1"/>
          <w:numId w:val="10"/>
        </w:numPr>
        <w:ind w:left="709" w:hanging="709"/>
        <w:jc w:val="left"/>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F87997">
      <w:pPr>
        <w:pStyle w:val="Text1-1"/>
        <w:numPr>
          <w:ilvl w:val="1"/>
          <w:numId w:val="10"/>
        </w:numPr>
        <w:ind w:left="709" w:hanging="709"/>
        <w:jc w:val="left"/>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F87997">
      <w:pPr>
        <w:pStyle w:val="Text1-1"/>
        <w:numPr>
          <w:ilvl w:val="1"/>
          <w:numId w:val="10"/>
        </w:numPr>
        <w:ind w:left="709" w:hanging="709"/>
        <w:jc w:val="left"/>
      </w:pPr>
      <w:r>
        <w:t xml:space="preserve">Ukáží-li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w:t>
      </w:r>
      <w:r w:rsidRPr="004266C8">
        <w:t>povinen zaplatit za každé jednotlivé porušení povinností dle předchozí věty smluvní pokutu ve výši 5 % procent</w:t>
      </w:r>
      <w:r>
        <w:t xml:space="preserve"> z Ceny Díla bez DPH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lastRenderedPageBreak/>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EF424BC" w14:textId="793EDA1B" w:rsidR="00801594" w:rsidRPr="004266C8" w:rsidRDefault="00065284" w:rsidP="004266C8">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6A6C03C8" w14:textId="098CE7F4" w:rsidR="00801594" w:rsidRPr="004266C8" w:rsidRDefault="00D85C5B" w:rsidP="004266C8">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Tato Smlouva je vyhotovena v elektronické podobě, přičemž obě Smluvní strany obdrží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r w:rsidR="00DB12F8" w:rsidRPr="00AF7DCE">
        <w:rPr>
          <w:highlight w:val="yellow"/>
        </w:rPr>
        <w:t>VLOŽÍ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4266C8">
        <w:rPr>
          <w:rFonts w:eastAsia="Times New Roman" w:cs="Times New Roman"/>
          <w:lang w:eastAsia="cs-CZ"/>
        </w:rPr>
        <w:t xml:space="preserve">jednom </w:t>
      </w:r>
      <w:r w:rsidR="00791AC7" w:rsidRPr="004266C8">
        <w:rPr>
          <w:rFonts w:eastAsia="Times New Roman" w:cs="Times New Roman"/>
          <w:lang w:eastAsia="cs-CZ"/>
        </w:rPr>
        <w:t>vyhotovení</w:t>
      </w:r>
      <w:r w:rsidR="00791AC7" w:rsidRPr="00AF7DCE">
        <w:rPr>
          <w:rFonts w:eastAsia="Times New Roman" w:cs="Times New Roman"/>
          <w:lang w:eastAsia="cs-CZ"/>
        </w:rPr>
        <w:t xml:space="preserve">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4266C8"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4266C8">
        <w:rPr>
          <w:rFonts w:eastAsia="Times New Roman" w:cs="Times New Roman"/>
          <w:lang w:eastAsia="cs-CZ"/>
        </w:rPr>
        <w:t>S</w:t>
      </w:r>
      <w:r w:rsidR="00D85C5B" w:rsidRPr="004266C8">
        <w:rPr>
          <w:rFonts w:eastAsia="Times New Roman" w:cs="Times New Roman"/>
          <w:lang w:eastAsia="cs-CZ"/>
        </w:rPr>
        <w:t>mlouvu lze měnit pouze</w:t>
      </w:r>
      <w:r w:rsidR="008E5032" w:rsidRPr="004266C8">
        <w:rPr>
          <w:rFonts w:eastAsia="Times New Roman" w:cs="Times New Roman"/>
          <w:lang w:eastAsia="cs-CZ"/>
        </w:rPr>
        <w:t xml:space="preserve"> vzestupně číslovanými</w:t>
      </w:r>
      <w:r w:rsidR="00D85C5B" w:rsidRPr="004266C8">
        <w:rPr>
          <w:rFonts w:eastAsia="Times New Roman" w:cs="Times New Roman"/>
          <w:lang w:eastAsia="cs-CZ"/>
        </w:rPr>
        <w:t xml:space="preserve"> písemnými dodatky.</w:t>
      </w:r>
    </w:p>
    <w:p w14:paraId="7C1A5E57" w14:textId="7BF49D47" w:rsidR="006D5BA2" w:rsidRPr="004266C8" w:rsidRDefault="00D85C5B" w:rsidP="004266C8">
      <w:pPr>
        <w:numPr>
          <w:ilvl w:val="1"/>
          <w:numId w:val="16"/>
        </w:numPr>
        <w:overflowPunct w:val="0"/>
        <w:autoSpaceDE w:val="0"/>
        <w:autoSpaceDN w:val="0"/>
        <w:adjustRightInd w:val="0"/>
        <w:spacing w:after="0" w:line="276" w:lineRule="auto"/>
        <w:ind w:left="709" w:hanging="709"/>
        <w:textAlignment w:val="baseline"/>
        <w:rPr>
          <w:rFonts w:eastAsia="Times New Roman" w:cs="Times New Roman"/>
          <w:lang w:eastAsia="cs-CZ"/>
        </w:rPr>
      </w:pPr>
      <w:r w:rsidRPr="004266C8">
        <w:rPr>
          <w:rFonts w:eastAsia="Times New Roman" w:cs="Times New Roman"/>
          <w:lang w:eastAsia="cs-CZ"/>
        </w:rPr>
        <w:t>Zvláštní pod</w:t>
      </w:r>
      <w:r w:rsidR="00FB5045" w:rsidRPr="004266C8">
        <w:rPr>
          <w:rFonts w:eastAsia="Times New Roman" w:cs="Times New Roman"/>
          <w:lang w:eastAsia="cs-CZ"/>
        </w:rPr>
        <w:t>mínky, na které odkazuje tato S</w:t>
      </w:r>
      <w:r w:rsidRPr="004266C8">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51B7B38F"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4266C8">
        <w:rPr>
          <w:rFonts w:eastAsia="Times New Roman" w:cs="Times New Roman"/>
          <w:lang w:eastAsia="cs-CZ"/>
        </w:rPr>
        <w:t>:</w:t>
      </w:r>
      <w:r w:rsidR="00D85C5B" w:rsidRPr="004266C8">
        <w:rPr>
          <w:rFonts w:eastAsia="Times New Roman" w:cs="Times New Roman"/>
          <w:lang w:eastAsia="cs-CZ"/>
        </w:rPr>
        <w:tab/>
      </w:r>
      <w:r w:rsidR="004266C8" w:rsidRPr="004266C8">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4AE35BA3" w:rsidR="004725F1" w:rsidRDefault="004725F1" w:rsidP="00124D61">
      <w:pPr>
        <w:tabs>
          <w:tab w:val="left" w:pos="4858"/>
        </w:tabs>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r w:rsidR="00124D61">
        <w:rPr>
          <w:rFonts w:asciiTheme="majorHAnsi" w:hAnsiTheme="majorHAnsi"/>
          <w:highlight w:val="green"/>
        </w:rPr>
        <w:tab/>
        <w:t>V </w:t>
      </w:r>
      <w:proofErr w:type="spellStart"/>
      <w:r w:rsidR="00124D61">
        <w:rPr>
          <w:rFonts w:asciiTheme="majorHAnsi" w:hAnsiTheme="majorHAnsi"/>
          <w:highlight w:val="green"/>
        </w:rPr>
        <w:t>xxxxxx</w:t>
      </w:r>
      <w:proofErr w:type="spellEnd"/>
      <w:r w:rsidR="00124D61">
        <w:rPr>
          <w:rFonts w:asciiTheme="majorHAnsi" w:hAnsiTheme="majorHAnsi"/>
          <w:highlight w:val="green"/>
        </w:rPr>
        <w:t xml:space="preserve"> dne </w:t>
      </w:r>
      <w:proofErr w:type="spellStart"/>
      <w:r w:rsidR="00124D6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124D61" w:rsidRDefault="00F5412E" w:rsidP="004725F1">
            <w:pPr>
              <w:tabs>
                <w:tab w:val="left" w:pos="1774"/>
              </w:tabs>
              <w:suppressAutoHyphens/>
              <w:spacing w:before="60" w:after="60" w:line="276" w:lineRule="auto"/>
              <w:rPr>
                <w:rFonts w:eastAsia="Calibri" w:cs="Times New Roman"/>
                <w:szCs w:val="16"/>
              </w:rPr>
            </w:pPr>
            <w:r w:rsidRPr="00124D61">
              <w:rPr>
                <w:rFonts w:eastAsia="Calibri" w:cs="Times New Roman"/>
                <w:szCs w:val="16"/>
              </w:rPr>
              <w:t>Za Kupujícího:</w:t>
            </w:r>
            <w:r w:rsidR="004725F1" w:rsidRPr="00124D61">
              <w:rPr>
                <w:rFonts w:eastAsia="Calibri" w:cs="Times New Roman"/>
                <w:szCs w:val="16"/>
              </w:rPr>
              <w:tab/>
            </w:r>
          </w:p>
          <w:p w14:paraId="3EFDE6D9" w14:textId="77777777" w:rsidR="00F5412E" w:rsidRPr="00124D61" w:rsidRDefault="00F5412E" w:rsidP="00F5412E">
            <w:pPr>
              <w:suppressAutoHyphens/>
              <w:spacing w:before="60" w:after="60" w:line="276" w:lineRule="auto"/>
              <w:rPr>
                <w:rFonts w:eastAsia="Calibri" w:cs="Times New Roman"/>
                <w:szCs w:val="16"/>
              </w:rPr>
            </w:pPr>
          </w:p>
          <w:p w14:paraId="3F04982B" w14:textId="77777777" w:rsidR="00F5412E" w:rsidRDefault="00F5412E" w:rsidP="00F5412E">
            <w:pPr>
              <w:suppressAutoHyphens/>
              <w:spacing w:before="60" w:after="60" w:line="276" w:lineRule="auto"/>
              <w:rPr>
                <w:rFonts w:eastAsia="Calibri" w:cs="Times New Roman"/>
                <w:szCs w:val="16"/>
              </w:rPr>
            </w:pPr>
          </w:p>
          <w:p w14:paraId="0E7FC639" w14:textId="77777777" w:rsidR="00124D61" w:rsidRDefault="00124D61" w:rsidP="00F5412E">
            <w:pPr>
              <w:suppressAutoHyphens/>
              <w:spacing w:before="60" w:after="60" w:line="276" w:lineRule="auto"/>
              <w:rPr>
                <w:rFonts w:eastAsia="Calibri" w:cs="Times New Roman"/>
                <w:szCs w:val="16"/>
              </w:rPr>
            </w:pPr>
          </w:p>
          <w:p w14:paraId="2B73C2C1" w14:textId="77777777" w:rsidR="00124D61" w:rsidRDefault="00124D61" w:rsidP="00F5412E">
            <w:pPr>
              <w:suppressAutoHyphens/>
              <w:spacing w:before="60" w:after="60" w:line="276" w:lineRule="auto"/>
              <w:rPr>
                <w:rFonts w:eastAsia="Calibri" w:cs="Times New Roman"/>
                <w:szCs w:val="16"/>
              </w:rPr>
            </w:pPr>
          </w:p>
          <w:p w14:paraId="62F1DAFF" w14:textId="7758F9CA" w:rsidR="00124D61" w:rsidRPr="00124D61" w:rsidRDefault="00124D61" w:rsidP="00F5412E">
            <w:pPr>
              <w:suppressAutoHyphens/>
              <w:spacing w:before="60" w:after="60" w:line="276" w:lineRule="auto"/>
              <w:rPr>
                <w:rFonts w:eastAsia="Calibri" w:cs="Times New Roman"/>
                <w:szCs w:val="16"/>
              </w:rPr>
            </w:pPr>
          </w:p>
        </w:tc>
        <w:tc>
          <w:tcPr>
            <w:tcW w:w="1134" w:type="dxa"/>
          </w:tcPr>
          <w:p w14:paraId="736B4386" w14:textId="77777777" w:rsidR="00F5412E" w:rsidRPr="00124D61"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124D61" w:rsidRDefault="00F5412E" w:rsidP="00F5412E">
            <w:pPr>
              <w:suppressAutoHyphens/>
              <w:spacing w:before="60" w:after="60" w:line="276" w:lineRule="auto"/>
              <w:rPr>
                <w:rFonts w:eastAsia="Calibri" w:cs="Times New Roman"/>
                <w:szCs w:val="16"/>
              </w:rPr>
            </w:pPr>
            <w:r w:rsidRPr="00124D61">
              <w:rPr>
                <w:rFonts w:eastAsia="Calibri" w:cs="Times New Roman"/>
                <w:szCs w:val="16"/>
              </w:rPr>
              <w:t>Za Prodávajícího:</w:t>
            </w:r>
          </w:p>
          <w:p w14:paraId="374D64B6" w14:textId="77777777" w:rsidR="00F5412E" w:rsidRPr="00124D61" w:rsidRDefault="00F5412E" w:rsidP="00F5412E">
            <w:pPr>
              <w:suppressAutoHyphens/>
              <w:spacing w:before="60" w:after="60" w:line="276" w:lineRule="auto"/>
              <w:rPr>
                <w:rFonts w:eastAsia="Calibri" w:cs="Times New Roman"/>
                <w:szCs w:val="16"/>
              </w:rPr>
            </w:pPr>
          </w:p>
          <w:p w14:paraId="2F1D69EB" w14:textId="77777777" w:rsidR="00F5412E" w:rsidRPr="00124D61" w:rsidRDefault="00F5412E" w:rsidP="00F5412E">
            <w:pPr>
              <w:suppressAutoHyphens/>
              <w:spacing w:before="60" w:after="60" w:line="276" w:lineRule="auto"/>
              <w:rPr>
                <w:rFonts w:eastAsia="Calibri" w:cs="Times New Roman"/>
                <w:szCs w:val="16"/>
              </w:rPr>
            </w:pPr>
          </w:p>
          <w:p w14:paraId="750A522E" w14:textId="1A35DCC5" w:rsidR="00F5412E" w:rsidRPr="00124D61"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Pr="004266C8" w:rsidRDefault="0040201B" w:rsidP="0040201B">
      <w:pPr>
        <w:pStyle w:val="Nadpisbezsl1-1"/>
      </w:pPr>
      <w:r w:rsidRPr="004266C8">
        <w:lastRenderedPageBreak/>
        <w:t>Příloha č. 2</w:t>
      </w:r>
    </w:p>
    <w:p w14:paraId="235659E3" w14:textId="3F341C22" w:rsidR="0040201B" w:rsidRPr="004266C8" w:rsidRDefault="004266C8" w:rsidP="0040201B">
      <w:pPr>
        <w:pStyle w:val="Nadpisbezsl1-2"/>
        <w:rPr>
          <w:sz w:val="18"/>
          <w:szCs w:val="18"/>
        </w:rPr>
      </w:pPr>
      <w:r w:rsidRPr="004266C8">
        <w:rPr>
          <w:sz w:val="18"/>
          <w:szCs w:val="18"/>
        </w:rPr>
        <w:t>Technická zpráva</w:t>
      </w:r>
    </w:p>
    <w:p w14:paraId="7B24171A" w14:textId="243A4BB0" w:rsidR="005A47E3" w:rsidRPr="004266C8" w:rsidRDefault="004266C8" w:rsidP="005A47E3">
      <w:pPr>
        <w:pStyle w:val="Textbezodsazen"/>
        <w:rPr>
          <w:bCs/>
        </w:rPr>
      </w:pPr>
      <w:r w:rsidRPr="004266C8">
        <w:rPr>
          <w:bCs/>
        </w:rPr>
        <w:t>Technická zpráva</w:t>
      </w:r>
      <w:r w:rsidR="005A47E3" w:rsidRPr="004266C8">
        <w:rPr>
          <w:bCs/>
        </w:rPr>
        <w:t xml:space="preserve"> není pevně připojena k této Smlouvě, Prodávající obdržel </w:t>
      </w:r>
      <w:r w:rsidR="00EC6971" w:rsidRPr="004266C8">
        <w:rPr>
          <w:bCs/>
        </w:rPr>
        <w:t xml:space="preserve">tento dokument </w:t>
      </w:r>
      <w:r w:rsidR="005A47E3" w:rsidRPr="004266C8">
        <w:rPr>
          <w:bCs/>
        </w:rPr>
        <w:t xml:space="preserve">společně se zadávací dokumentací prostřednictvím profilu zadavatele </w:t>
      </w:r>
      <w:hyperlink r:id="rId20" w:history="1">
        <w:r w:rsidR="006A1480" w:rsidRPr="004266C8">
          <w:rPr>
            <w:rStyle w:val="Hypertextovodkaz"/>
            <w:bCs/>
          </w:rPr>
          <w:t>https://zakazky.spravazeleznic.cz/</w:t>
        </w:r>
      </w:hyperlink>
      <w:r w:rsidR="005A47E3" w:rsidRPr="004266C8">
        <w:rPr>
          <w:bCs/>
        </w:rPr>
        <w:t xml:space="preserve">. </w:t>
      </w:r>
    </w:p>
    <w:p w14:paraId="17077A38" w14:textId="1F3E0927" w:rsidR="00491880" w:rsidRPr="005A47E3" w:rsidRDefault="005A47E3" w:rsidP="004266C8">
      <w:pPr>
        <w:pStyle w:val="Textbezodsazen"/>
        <w:rPr>
          <w:bCs/>
        </w:rPr>
      </w:pPr>
      <w:r w:rsidRPr="004266C8">
        <w:rPr>
          <w:bCs/>
        </w:rPr>
        <w:t xml:space="preserve">Smluvní strany podpisem této Smlouvy stvrzují, že je pro ně </w:t>
      </w:r>
      <w:r w:rsidR="004266C8" w:rsidRPr="004266C8">
        <w:rPr>
          <w:bCs/>
        </w:rPr>
        <w:t xml:space="preserve">Technická zpráva </w:t>
      </w:r>
      <w:r w:rsidRPr="004266C8">
        <w:rPr>
          <w:bCs/>
        </w:rPr>
        <w:t>závazná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tvoří </w:t>
      </w:r>
      <w:r w:rsidR="00ED662C">
        <w:rPr>
          <w:bCs/>
        </w:rPr>
        <w:t>tento dokument</w:t>
      </w:r>
      <w:r w:rsidR="00CB3555" w:rsidRPr="00512F8C">
        <w:rPr>
          <w:bCs/>
        </w:rPr>
        <w:t xml:space="preserve"> </w:t>
      </w:r>
      <w:r w:rsidRPr="00512F8C">
        <w:rPr>
          <w:bCs/>
        </w:rPr>
        <w:t>část obsahu Smlouvy</w:t>
      </w:r>
      <w:r w:rsidR="004266C8">
        <w:rPr>
          <w:bCs/>
        </w:rPr>
        <w:t>.</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4266C8" w:rsidRDefault="006426AF" w:rsidP="006426AF">
      <w:pPr>
        <w:pStyle w:val="Tabulka"/>
        <w:spacing w:before="0" w:after="120"/>
        <w:rPr>
          <w:bCs/>
          <w:highlight w:val="green"/>
        </w:rPr>
      </w:pPr>
      <w:r w:rsidRPr="004266C8">
        <w:rPr>
          <w:b/>
          <w:bCs/>
          <w:highlight w:val="green"/>
        </w:rPr>
        <w:t>[Varianta A</w:t>
      </w:r>
      <w:r w:rsidRPr="004266C8">
        <w:rPr>
          <w:bCs/>
          <w:highlight w:val="green"/>
        </w:rPr>
        <w:t xml:space="preserve"> – pro digitální podobu smlouvy</w:t>
      </w:r>
      <w:r w:rsidRPr="004266C8">
        <w:rPr>
          <w:b/>
          <w:bCs/>
          <w:highlight w:val="gree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4266C8" w:rsidRDefault="006426AF" w:rsidP="006426AF">
      <w:pPr>
        <w:pStyle w:val="Tabulka"/>
        <w:spacing w:before="0" w:after="120"/>
        <w:rPr>
          <w:bCs/>
          <w:highlight w:val="green"/>
        </w:rPr>
      </w:pPr>
      <w:r w:rsidRPr="004266C8">
        <w:rPr>
          <w:b/>
          <w:bCs/>
          <w:highlight w:val="green"/>
        </w:rPr>
        <w:t>[Varianta B</w:t>
      </w:r>
      <w:r w:rsidRPr="004266C8">
        <w:rPr>
          <w:bCs/>
          <w:highlight w:val="green"/>
        </w:rPr>
        <w:t xml:space="preserve"> – pro listinnou podobu smlouvy</w:t>
      </w:r>
      <w:r w:rsidRPr="004266C8">
        <w:rPr>
          <w:b/>
          <w:bCs/>
          <w:highlight w:val="green"/>
        </w:rPr>
        <w:t>]</w:t>
      </w:r>
    </w:p>
    <w:p w14:paraId="400D969B" w14:textId="588AAC93" w:rsidR="006426AF" w:rsidRDefault="006426AF" w:rsidP="006426AF">
      <w:pPr>
        <w:pStyle w:val="Tabulka"/>
      </w:pPr>
      <w:r w:rsidRPr="004266C8">
        <w:rPr>
          <w:bCs/>
          <w:highlight w:val="green"/>
        </w:rPr>
        <w:t>Plná moc 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C" w16cex:dateUtc="2020-06-17T11:56:00Z"/>
  <w16cex:commentExtensible w16cex:durableId="2587F71D" w16cex:dateUtc="2020-06-17T11:56:00Z"/>
  <w16cex:commentExtensible w16cex:durableId="278F76B8" w16cex:dateUtc="2023-02-09T12:42:00Z"/>
  <w16cex:commentExtensible w16cex:durableId="2587F71E" w16cex:dateUtc="2020-07-15T14:56:00Z"/>
  <w16cex:commentExtensible w16cex:durableId="2587F71F" w16cex:dateUtc="2020-07-15T15: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074F63F"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997">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589B43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F87997">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7"/>
  </w:num>
  <w:num w:numId="4">
    <w:abstractNumId w:val="16"/>
  </w:num>
  <w:num w:numId="5">
    <w:abstractNumId w:val="11"/>
  </w:num>
  <w:num w:numId="6">
    <w:abstractNumId w:val="8"/>
  </w:num>
  <w:num w:numId="7">
    <w:abstractNumId w:val="12"/>
  </w:num>
  <w:num w:numId="8">
    <w:abstractNumId w:val="15"/>
  </w:num>
  <w:num w:numId="9">
    <w:abstractNumId w:val="17"/>
  </w:num>
  <w:num w:numId="10">
    <w:abstractNumId w:val="14"/>
  </w:num>
  <w:num w:numId="11">
    <w:abstractNumId w:val="9"/>
  </w:num>
  <w:num w:numId="12">
    <w:abstractNumId w:val="4"/>
  </w:num>
  <w:num w:numId="13">
    <w:abstractNumId w:val="1"/>
  </w:num>
  <w:num w:numId="14">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0"/>
  </w:num>
  <w:num w:numId="17">
    <w:abstractNumId w:val="5"/>
  </w:num>
  <w:num w:numId="18">
    <w:abstractNumId w:val="11"/>
  </w:num>
  <w:num w:numId="19">
    <w:abstractNumId w:val="3"/>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24D61"/>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266C8"/>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B3F32"/>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55183"/>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87997"/>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87EDC496-B5CC-4F65-96EA-2F9B516FC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2714</Words>
  <Characters>16016</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8</cp:revision>
  <cp:lastPrinted>2017-11-28T17:18:00Z</cp:lastPrinted>
  <dcterms:created xsi:type="dcterms:W3CDTF">2023-02-09T12:20:00Z</dcterms:created>
  <dcterms:modified xsi:type="dcterms:W3CDTF">2023-03-29T11:45:00Z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